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07BE" w14:textId="7624B60F" w:rsidR="00412B37" w:rsidRPr="00B43EFC" w:rsidRDefault="00412B37" w:rsidP="00B43EF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43EFC">
        <w:rPr>
          <w:rFonts w:ascii="Arial" w:hAnsi="Arial" w:cs="Arial"/>
          <w:b/>
          <w:bCs/>
          <w:sz w:val="20"/>
          <w:szCs w:val="20"/>
        </w:rPr>
        <w:t>Tisková zpráva</w:t>
      </w:r>
    </w:p>
    <w:p w14:paraId="59BC271B" w14:textId="3D93913C" w:rsidR="00412B37" w:rsidRPr="00B43EFC" w:rsidRDefault="00B43EFC" w:rsidP="00B43EF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43EFC">
        <w:rPr>
          <w:rFonts w:ascii="Arial" w:hAnsi="Arial" w:cs="Arial"/>
          <w:b/>
          <w:bCs/>
          <w:sz w:val="20"/>
          <w:szCs w:val="20"/>
        </w:rPr>
        <w:t>10. srpna 2023</w:t>
      </w:r>
    </w:p>
    <w:p w14:paraId="31CE9A53" w14:textId="77777777" w:rsidR="00412B37" w:rsidRDefault="00412B37" w:rsidP="00BF5DF8">
      <w:pPr>
        <w:jc w:val="center"/>
        <w:rPr>
          <w:rFonts w:ascii="Arial" w:hAnsi="Arial" w:cs="Arial"/>
          <w:b/>
          <w:bCs/>
        </w:rPr>
      </w:pPr>
    </w:p>
    <w:p w14:paraId="6A1E49F0" w14:textId="0388CA89" w:rsidR="00D01AD3" w:rsidRPr="00830CDD" w:rsidRDefault="00E83FFF" w:rsidP="00BF5DF8">
      <w:pPr>
        <w:jc w:val="center"/>
        <w:rPr>
          <w:rFonts w:ascii="Arial" w:hAnsi="Arial" w:cs="Arial"/>
          <w:b/>
          <w:bCs/>
        </w:rPr>
      </w:pPr>
      <w:r w:rsidRPr="00830CDD">
        <w:rPr>
          <w:rFonts w:ascii="Arial" w:hAnsi="Arial" w:cs="Arial"/>
          <w:b/>
          <w:bCs/>
        </w:rPr>
        <w:t xml:space="preserve">Průzkum: </w:t>
      </w:r>
      <w:r w:rsidR="00B910E8" w:rsidRPr="00830CDD">
        <w:rPr>
          <w:rFonts w:ascii="Arial" w:hAnsi="Arial" w:cs="Arial"/>
          <w:b/>
          <w:bCs/>
        </w:rPr>
        <w:t xml:space="preserve">Češi špatně </w:t>
      </w:r>
      <w:r w:rsidR="00BF5DF8" w:rsidRPr="00830CDD">
        <w:rPr>
          <w:rFonts w:ascii="Arial" w:hAnsi="Arial" w:cs="Arial"/>
          <w:b/>
          <w:bCs/>
        </w:rPr>
        <w:t>zacházejí</w:t>
      </w:r>
      <w:r w:rsidR="00B910E8" w:rsidRPr="00830CDD">
        <w:rPr>
          <w:rFonts w:ascii="Arial" w:hAnsi="Arial" w:cs="Arial"/>
          <w:b/>
          <w:bCs/>
        </w:rPr>
        <w:t xml:space="preserve"> s </w:t>
      </w:r>
      <w:r w:rsidR="00081D64" w:rsidRPr="00830CDD">
        <w:rPr>
          <w:rFonts w:ascii="Arial" w:hAnsi="Arial" w:cs="Arial"/>
          <w:b/>
          <w:bCs/>
        </w:rPr>
        <w:t>použitými</w:t>
      </w:r>
      <w:r w:rsidR="00B910E8" w:rsidRPr="00830CDD">
        <w:rPr>
          <w:rFonts w:ascii="Arial" w:hAnsi="Arial" w:cs="Arial"/>
          <w:b/>
          <w:bCs/>
        </w:rPr>
        <w:t xml:space="preserve"> e-cigaretami</w:t>
      </w:r>
    </w:p>
    <w:p w14:paraId="110AA358" w14:textId="774D0E2C" w:rsidR="00E42317" w:rsidRPr="00830CDD" w:rsidRDefault="00894239" w:rsidP="00E42317">
      <w:pPr>
        <w:jc w:val="both"/>
        <w:rPr>
          <w:rFonts w:ascii="Arial" w:hAnsi="Arial" w:cs="Arial"/>
          <w:b/>
          <w:bCs/>
        </w:rPr>
      </w:pPr>
      <w:r w:rsidRPr="00830CDD">
        <w:rPr>
          <w:rFonts w:ascii="Arial" w:hAnsi="Arial" w:cs="Arial"/>
          <w:b/>
          <w:bCs/>
        </w:rPr>
        <w:t xml:space="preserve">Více než polovina </w:t>
      </w:r>
      <w:r w:rsidR="00830CDD" w:rsidRPr="00830CDD">
        <w:rPr>
          <w:rFonts w:ascii="Arial" w:hAnsi="Arial" w:cs="Arial"/>
          <w:b/>
          <w:bCs/>
        </w:rPr>
        <w:t>kuřáků</w:t>
      </w:r>
      <w:r w:rsidR="00C1399D" w:rsidRPr="00830CDD">
        <w:rPr>
          <w:rFonts w:ascii="Arial" w:hAnsi="Arial" w:cs="Arial"/>
          <w:b/>
          <w:bCs/>
        </w:rPr>
        <w:t xml:space="preserve"> elektronických jednorázových cigaret vyhazuje </w:t>
      </w:r>
      <w:r w:rsidR="00830CDD" w:rsidRPr="00830CDD">
        <w:rPr>
          <w:rFonts w:ascii="Arial" w:hAnsi="Arial" w:cs="Arial"/>
          <w:b/>
          <w:bCs/>
        </w:rPr>
        <w:t xml:space="preserve">použitý </w:t>
      </w:r>
      <w:r w:rsidR="000F3210" w:rsidRPr="00830CDD">
        <w:rPr>
          <w:rFonts w:ascii="Arial" w:hAnsi="Arial" w:cs="Arial"/>
          <w:b/>
          <w:bCs/>
        </w:rPr>
        <w:t xml:space="preserve">přístroj do běžného komunálního odpadu. A to i přesto, že </w:t>
      </w:r>
      <w:r w:rsidR="00C80F71" w:rsidRPr="00830CDD">
        <w:rPr>
          <w:rFonts w:ascii="Arial" w:hAnsi="Arial" w:cs="Arial"/>
          <w:b/>
          <w:bCs/>
        </w:rPr>
        <w:t>téměř 50 %</w:t>
      </w:r>
      <w:r w:rsidR="00E64DF2" w:rsidRPr="00830CDD">
        <w:rPr>
          <w:rFonts w:ascii="Arial" w:hAnsi="Arial" w:cs="Arial"/>
          <w:b/>
          <w:bCs/>
        </w:rPr>
        <w:t xml:space="preserve"> </w:t>
      </w:r>
      <w:r w:rsidR="00481861" w:rsidRPr="00830CDD">
        <w:rPr>
          <w:rFonts w:ascii="Arial" w:hAnsi="Arial" w:cs="Arial"/>
          <w:b/>
          <w:bCs/>
        </w:rPr>
        <w:t xml:space="preserve">z nich </w:t>
      </w:r>
      <w:r w:rsidR="007814A2" w:rsidRPr="00830CDD">
        <w:rPr>
          <w:rFonts w:ascii="Arial" w:hAnsi="Arial" w:cs="Arial"/>
          <w:b/>
          <w:bCs/>
        </w:rPr>
        <w:t xml:space="preserve">ví, že </w:t>
      </w:r>
      <w:proofErr w:type="spellStart"/>
      <w:r w:rsidR="00296ACC" w:rsidRPr="00830CDD">
        <w:rPr>
          <w:rFonts w:ascii="Arial" w:hAnsi="Arial" w:cs="Arial"/>
          <w:b/>
          <w:bCs/>
        </w:rPr>
        <w:t>vaporizér</w:t>
      </w:r>
      <w:proofErr w:type="spellEnd"/>
      <w:r w:rsidR="00296ACC" w:rsidRPr="00830CDD">
        <w:rPr>
          <w:rFonts w:ascii="Arial" w:hAnsi="Arial" w:cs="Arial"/>
          <w:b/>
          <w:bCs/>
        </w:rPr>
        <w:t xml:space="preserve"> </w:t>
      </w:r>
      <w:r w:rsidR="00C1399D" w:rsidRPr="00830CDD">
        <w:rPr>
          <w:rFonts w:ascii="Arial" w:hAnsi="Arial" w:cs="Arial"/>
          <w:b/>
          <w:bCs/>
        </w:rPr>
        <w:t xml:space="preserve">v sobě </w:t>
      </w:r>
      <w:r w:rsidR="0057197C" w:rsidRPr="00830CDD">
        <w:rPr>
          <w:rFonts w:ascii="Arial" w:hAnsi="Arial" w:cs="Arial"/>
          <w:b/>
          <w:bCs/>
        </w:rPr>
        <w:t xml:space="preserve">má </w:t>
      </w:r>
      <w:r w:rsidR="007814A2" w:rsidRPr="00830CDD">
        <w:rPr>
          <w:rFonts w:ascii="Arial" w:hAnsi="Arial" w:cs="Arial"/>
          <w:b/>
          <w:bCs/>
        </w:rPr>
        <w:t>zabudovanou baterii</w:t>
      </w:r>
      <w:r w:rsidR="00CB5999" w:rsidRPr="00830CDD">
        <w:rPr>
          <w:rFonts w:ascii="Arial" w:hAnsi="Arial" w:cs="Arial"/>
          <w:b/>
          <w:bCs/>
        </w:rPr>
        <w:t xml:space="preserve">. </w:t>
      </w:r>
      <w:r w:rsidR="003979AA" w:rsidRPr="00830CDD">
        <w:rPr>
          <w:rFonts w:ascii="Arial" w:hAnsi="Arial" w:cs="Arial"/>
          <w:b/>
          <w:bCs/>
        </w:rPr>
        <w:t>Jak a</w:t>
      </w:r>
      <w:r w:rsidR="00EF4804" w:rsidRPr="00830CDD">
        <w:rPr>
          <w:rFonts w:ascii="Arial" w:hAnsi="Arial" w:cs="Arial"/>
          <w:b/>
          <w:bCs/>
        </w:rPr>
        <w:t>ktuální průzkum</w:t>
      </w:r>
      <w:r w:rsidR="00531CF6" w:rsidRPr="00830CDD">
        <w:rPr>
          <w:rFonts w:ascii="Arial" w:hAnsi="Arial" w:cs="Arial"/>
          <w:b/>
          <w:bCs/>
        </w:rPr>
        <w:t>* společnosti</w:t>
      </w:r>
      <w:r w:rsidR="00C1399D" w:rsidRPr="00830CDD">
        <w:rPr>
          <w:rFonts w:ascii="Arial" w:hAnsi="Arial" w:cs="Arial"/>
          <w:b/>
          <w:bCs/>
        </w:rPr>
        <w:t xml:space="preserve"> Ecobat</w:t>
      </w:r>
      <w:r w:rsidR="003979AA" w:rsidRPr="00830CDD">
        <w:rPr>
          <w:rFonts w:ascii="Arial" w:hAnsi="Arial" w:cs="Arial"/>
          <w:b/>
          <w:bCs/>
        </w:rPr>
        <w:t xml:space="preserve"> dále ukázal, </w:t>
      </w:r>
      <w:r w:rsidR="00AB6723" w:rsidRPr="00830CDD">
        <w:rPr>
          <w:rFonts w:ascii="Arial" w:hAnsi="Arial" w:cs="Arial"/>
          <w:b/>
          <w:bCs/>
        </w:rPr>
        <w:t xml:space="preserve">téměř 90 % </w:t>
      </w:r>
      <w:r w:rsidR="00830CDD" w:rsidRPr="00830CDD">
        <w:rPr>
          <w:rFonts w:ascii="Arial" w:hAnsi="Arial" w:cs="Arial"/>
          <w:b/>
          <w:bCs/>
        </w:rPr>
        <w:t>uživatelů</w:t>
      </w:r>
      <w:r w:rsidR="00AB6723" w:rsidRPr="00830CDD">
        <w:rPr>
          <w:rFonts w:ascii="Arial" w:hAnsi="Arial" w:cs="Arial"/>
          <w:b/>
          <w:bCs/>
        </w:rPr>
        <w:t xml:space="preserve"> e-cigaret </w:t>
      </w:r>
      <w:r w:rsidR="00002B19" w:rsidRPr="00830CDD">
        <w:rPr>
          <w:rFonts w:ascii="Arial" w:hAnsi="Arial" w:cs="Arial"/>
          <w:b/>
          <w:bCs/>
        </w:rPr>
        <w:t>netuší</w:t>
      </w:r>
      <w:r w:rsidR="00AB6723" w:rsidRPr="00830CDD">
        <w:rPr>
          <w:rFonts w:ascii="Arial" w:hAnsi="Arial" w:cs="Arial"/>
          <w:b/>
          <w:bCs/>
        </w:rPr>
        <w:t xml:space="preserve">, že </w:t>
      </w:r>
      <w:r w:rsidR="00081D64" w:rsidRPr="00830CDD">
        <w:rPr>
          <w:rFonts w:ascii="Arial" w:hAnsi="Arial" w:cs="Arial"/>
          <w:b/>
          <w:bCs/>
        </w:rPr>
        <w:t>použitou</w:t>
      </w:r>
      <w:r w:rsidR="00AB6723" w:rsidRPr="00830CDD">
        <w:rPr>
          <w:rFonts w:ascii="Arial" w:hAnsi="Arial" w:cs="Arial"/>
          <w:b/>
          <w:bCs/>
        </w:rPr>
        <w:t xml:space="preserve"> elektronickou cigaretu mohou vrátit tzv. kus za kus do trafiky či jin</w:t>
      </w:r>
      <w:r w:rsidR="00723CF4" w:rsidRPr="00830CDD">
        <w:rPr>
          <w:rFonts w:ascii="Arial" w:hAnsi="Arial" w:cs="Arial"/>
          <w:b/>
          <w:bCs/>
        </w:rPr>
        <w:t xml:space="preserve">ého prodejního místa. </w:t>
      </w:r>
      <w:r w:rsidR="00E42317" w:rsidRPr="00830CDD">
        <w:rPr>
          <w:rFonts w:ascii="Arial" w:hAnsi="Arial" w:cs="Arial"/>
          <w:b/>
          <w:bCs/>
        </w:rPr>
        <w:t xml:space="preserve">Do sběrných nádob, určených pro </w:t>
      </w:r>
      <w:r w:rsidR="005C2676" w:rsidRPr="00830CDD">
        <w:rPr>
          <w:rFonts w:ascii="Arial" w:hAnsi="Arial" w:cs="Arial"/>
          <w:b/>
          <w:bCs/>
        </w:rPr>
        <w:t>ekologickou likvidaci</w:t>
      </w:r>
      <w:r w:rsidR="00E42317" w:rsidRPr="00830CDD">
        <w:rPr>
          <w:rFonts w:ascii="Arial" w:hAnsi="Arial" w:cs="Arial"/>
          <w:b/>
          <w:bCs/>
        </w:rPr>
        <w:t xml:space="preserve"> baterií</w:t>
      </w:r>
      <w:r w:rsidR="00230C15" w:rsidRPr="00830CDD">
        <w:rPr>
          <w:rFonts w:ascii="Arial" w:hAnsi="Arial" w:cs="Arial"/>
          <w:b/>
          <w:bCs/>
        </w:rPr>
        <w:t>,</w:t>
      </w:r>
      <w:r w:rsidR="00E42317" w:rsidRPr="00830CDD">
        <w:rPr>
          <w:rFonts w:ascii="Arial" w:hAnsi="Arial" w:cs="Arial"/>
          <w:b/>
          <w:bCs/>
        </w:rPr>
        <w:t xml:space="preserve"> odnáší vybité </w:t>
      </w:r>
      <w:r w:rsidR="00830CDD" w:rsidRPr="00830CDD">
        <w:rPr>
          <w:rFonts w:ascii="Arial" w:hAnsi="Arial" w:cs="Arial"/>
          <w:b/>
          <w:bCs/>
        </w:rPr>
        <w:t>přístroje 8</w:t>
      </w:r>
      <w:r w:rsidR="00E42317" w:rsidRPr="00830CDD">
        <w:rPr>
          <w:rFonts w:ascii="Arial" w:hAnsi="Arial" w:cs="Arial"/>
          <w:b/>
          <w:bCs/>
        </w:rPr>
        <w:t xml:space="preserve"> % dotazovaných</w:t>
      </w:r>
      <w:r w:rsidR="00090244" w:rsidRPr="00830CDD">
        <w:rPr>
          <w:rFonts w:ascii="Arial" w:hAnsi="Arial" w:cs="Arial"/>
          <w:b/>
          <w:bCs/>
        </w:rPr>
        <w:t>.</w:t>
      </w:r>
    </w:p>
    <w:p w14:paraId="4E9D885D" w14:textId="11DBC239" w:rsidR="00830CDD" w:rsidRPr="00830CDD" w:rsidRDefault="006D44A8" w:rsidP="00830CDD">
      <w:pPr>
        <w:jc w:val="both"/>
        <w:rPr>
          <w:rFonts w:ascii="Arial" w:hAnsi="Arial" w:cs="Arial"/>
        </w:rPr>
      </w:pPr>
      <w:r w:rsidRPr="00830CDD">
        <w:rPr>
          <w:rFonts w:ascii="Arial" w:hAnsi="Arial" w:cs="Arial"/>
        </w:rPr>
        <w:t xml:space="preserve">Společnost Ecobat, která v tuzemsku již 20 let organizuje sběr všech odpadních baterií </w:t>
      </w:r>
      <w:r w:rsidR="00830CDD" w:rsidRPr="00830CDD">
        <w:rPr>
          <w:rFonts w:ascii="Arial" w:hAnsi="Arial" w:cs="Arial"/>
        </w:rPr>
        <w:br/>
      </w:r>
      <w:r w:rsidRPr="00830CDD">
        <w:rPr>
          <w:rFonts w:ascii="Arial" w:hAnsi="Arial" w:cs="Arial"/>
        </w:rPr>
        <w:t xml:space="preserve">a zajišťuje proces jejich třídění a následné recyklace, realizovala průzkum na téma </w:t>
      </w:r>
      <w:r w:rsidR="00002B19" w:rsidRPr="00830CDD">
        <w:rPr>
          <w:rFonts w:ascii="Arial" w:hAnsi="Arial" w:cs="Arial"/>
        </w:rPr>
        <w:t xml:space="preserve">recyklace </w:t>
      </w:r>
      <w:r w:rsidR="00081D64" w:rsidRPr="00830CDD">
        <w:rPr>
          <w:rFonts w:ascii="Arial" w:hAnsi="Arial" w:cs="Arial"/>
        </w:rPr>
        <w:t>použitých</w:t>
      </w:r>
      <w:r w:rsidR="00830CDD" w:rsidRPr="00830CDD">
        <w:rPr>
          <w:rFonts w:ascii="Arial" w:hAnsi="Arial" w:cs="Arial"/>
        </w:rPr>
        <w:t xml:space="preserve"> j</w:t>
      </w:r>
      <w:r w:rsidR="00002B19" w:rsidRPr="00830CDD">
        <w:rPr>
          <w:rFonts w:ascii="Arial" w:hAnsi="Arial" w:cs="Arial"/>
        </w:rPr>
        <w:t xml:space="preserve">ednorázových elektronických cigaret. </w:t>
      </w:r>
      <w:r w:rsidR="00985A30" w:rsidRPr="00830CDD">
        <w:rPr>
          <w:rFonts w:ascii="Arial" w:hAnsi="Arial" w:cs="Arial"/>
        </w:rPr>
        <w:t>Důvodem je zvyšující</w:t>
      </w:r>
      <w:r w:rsidR="00B1545B" w:rsidRPr="00830CDD">
        <w:rPr>
          <w:rFonts w:ascii="Arial" w:hAnsi="Arial" w:cs="Arial"/>
        </w:rPr>
        <w:t xml:space="preserve"> se</w:t>
      </w:r>
      <w:r w:rsidR="00985A30" w:rsidRPr="00830CDD">
        <w:rPr>
          <w:rFonts w:ascii="Arial" w:hAnsi="Arial" w:cs="Arial"/>
        </w:rPr>
        <w:t xml:space="preserve"> </w:t>
      </w:r>
      <w:r w:rsidR="0057197C" w:rsidRPr="00830CDD">
        <w:rPr>
          <w:rFonts w:ascii="Arial" w:hAnsi="Arial" w:cs="Arial"/>
        </w:rPr>
        <w:t xml:space="preserve">obliba </w:t>
      </w:r>
      <w:proofErr w:type="spellStart"/>
      <w:r w:rsidR="0057197C" w:rsidRPr="00830CDD">
        <w:rPr>
          <w:rFonts w:ascii="Arial" w:hAnsi="Arial" w:cs="Arial"/>
        </w:rPr>
        <w:t>vapování</w:t>
      </w:r>
      <w:proofErr w:type="spellEnd"/>
      <w:r w:rsidR="002F4001" w:rsidRPr="00830CDD">
        <w:rPr>
          <w:rFonts w:ascii="Arial" w:hAnsi="Arial" w:cs="Arial"/>
        </w:rPr>
        <w:t xml:space="preserve">, zejména mezi mladými lidmi, a s ní spojená nutnost edukace </w:t>
      </w:r>
      <w:r w:rsidR="00560D65" w:rsidRPr="00830CDD">
        <w:rPr>
          <w:rFonts w:ascii="Arial" w:hAnsi="Arial" w:cs="Arial"/>
        </w:rPr>
        <w:t>veřejnosti o správném zacházení s </w:t>
      </w:r>
      <w:r w:rsidR="00830CDD" w:rsidRPr="00830CDD">
        <w:rPr>
          <w:rFonts w:ascii="Arial" w:hAnsi="Arial" w:cs="Arial"/>
        </w:rPr>
        <w:t>použitými</w:t>
      </w:r>
      <w:r w:rsidR="00560D65" w:rsidRPr="00830CDD">
        <w:rPr>
          <w:rFonts w:ascii="Arial" w:hAnsi="Arial" w:cs="Arial"/>
        </w:rPr>
        <w:t xml:space="preserve"> přístroji. </w:t>
      </w:r>
      <w:r w:rsidR="00560D65" w:rsidRPr="00830CDD">
        <w:rPr>
          <w:rFonts w:ascii="Arial" w:hAnsi="Arial" w:cs="Arial"/>
          <w:i/>
          <w:iCs/>
        </w:rPr>
        <w:t>„Jak nám potvrdily výsledky průzkumu</w:t>
      </w:r>
      <w:r w:rsidR="00C41D07" w:rsidRPr="00830CDD">
        <w:rPr>
          <w:rFonts w:ascii="Arial" w:hAnsi="Arial" w:cs="Arial"/>
          <w:i/>
          <w:iCs/>
        </w:rPr>
        <w:t xml:space="preserve">, </w:t>
      </w:r>
      <w:proofErr w:type="spellStart"/>
      <w:r w:rsidR="00997C9E" w:rsidRPr="00830CDD">
        <w:rPr>
          <w:rFonts w:ascii="Arial" w:hAnsi="Arial" w:cs="Arial"/>
          <w:i/>
          <w:iCs/>
        </w:rPr>
        <w:t>vapování</w:t>
      </w:r>
      <w:proofErr w:type="spellEnd"/>
      <w:r w:rsidR="00997C9E" w:rsidRPr="00830CDD">
        <w:rPr>
          <w:rFonts w:ascii="Arial" w:hAnsi="Arial" w:cs="Arial"/>
          <w:i/>
          <w:iCs/>
        </w:rPr>
        <w:t xml:space="preserve"> je populární zejména mezi lidmi ve věku od 18 do 2</w:t>
      </w:r>
      <w:r w:rsidR="005B05B5" w:rsidRPr="00830CDD">
        <w:rPr>
          <w:rFonts w:ascii="Arial" w:hAnsi="Arial" w:cs="Arial"/>
          <w:i/>
          <w:iCs/>
        </w:rPr>
        <w:t>6</w:t>
      </w:r>
      <w:r w:rsidR="00997C9E" w:rsidRPr="00830CDD">
        <w:rPr>
          <w:rFonts w:ascii="Arial" w:hAnsi="Arial" w:cs="Arial"/>
          <w:i/>
          <w:iCs/>
        </w:rPr>
        <w:t xml:space="preserve"> let. </w:t>
      </w:r>
      <w:r w:rsidR="005B05B5" w:rsidRPr="00830CDD">
        <w:rPr>
          <w:rFonts w:ascii="Arial" w:hAnsi="Arial" w:cs="Arial"/>
          <w:i/>
          <w:iCs/>
        </w:rPr>
        <w:t xml:space="preserve">V tomto vzorku kouří elektronické cigarety dokonce 42 % dotazovaných. </w:t>
      </w:r>
      <w:r w:rsidR="002B1940" w:rsidRPr="00830CDD">
        <w:rPr>
          <w:rFonts w:ascii="Arial" w:hAnsi="Arial" w:cs="Arial"/>
          <w:i/>
          <w:iCs/>
        </w:rPr>
        <w:t xml:space="preserve">Téměř stejné procento z nich ale neví, že v e-cigaretě je </w:t>
      </w:r>
      <w:r w:rsidR="00081D64" w:rsidRPr="00830CDD">
        <w:rPr>
          <w:rFonts w:ascii="Arial" w:hAnsi="Arial" w:cs="Arial"/>
          <w:i/>
          <w:iCs/>
        </w:rPr>
        <w:t xml:space="preserve">částečně nabitá lithiová </w:t>
      </w:r>
      <w:r w:rsidR="002B1940" w:rsidRPr="00830CDD">
        <w:rPr>
          <w:rFonts w:ascii="Arial" w:hAnsi="Arial" w:cs="Arial"/>
          <w:i/>
          <w:iCs/>
        </w:rPr>
        <w:t xml:space="preserve">baterka, která </w:t>
      </w:r>
      <w:r w:rsidR="00830CDD" w:rsidRPr="00830CDD">
        <w:rPr>
          <w:rFonts w:ascii="Arial" w:hAnsi="Arial" w:cs="Arial"/>
          <w:i/>
          <w:iCs/>
        </w:rPr>
        <w:t>by mohla</w:t>
      </w:r>
      <w:r w:rsidR="002B1940" w:rsidRPr="00830CDD">
        <w:rPr>
          <w:rFonts w:ascii="Arial" w:hAnsi="Arial" w:cs="Arial"/>
          <w:i/>
          <w:iCs/>
        </w:rPr>
        <w:t xml:space="preserve"> </w:t>
      </w:r>
      <w:r w:rsidR="00081D64" w:rsidRPr="00830CDD">
        <w:rPr>
          <w:rFonts w:ascii="Arial" w:hAnsi="Arial" w:cs="Arial"/>
          <w:i/>
          <w:iCs/>
        </w:rPr>
        <w:t>způsobit zahoření přístroje</w:t>
      </w:r>
      <w:r w:rsidR="00470440" w:rsidRPr="00830CDD">
        <w:rPr>
          <w:rFonts w:ascii="Arial" w:hAnsi="Arial" w:cs="Arial"/>
          <w:i/>
          <w:iCs/>
        </w:rPr>
        <w:t xml:space="preserve">,“ </w:t>
      </w:r>
      <w:r w:rsidR="00470440" w:rsidRPr="00830CDD">
        <w:rPr>
          <w:rFonts w:ascii="Arial" w:hAnsi="Arial" w:cs="Arial"/>
        </w:rPr>
        <w:t>komentuje výsledky Kateřina Vránková ze společnosti Ecobat</w:t>
      </w:r>
      <w:r w:rsidR="00F97FF8" w:rsidRPr="00830CDD">
        <w:rPr>
          <w:rFonts w:ascii="Arial" w:hAnsi="Arial" w:cs="Arial"/>
        </w:rPr>
        <w:t xml:space="preserve"> a pokračuje: </w:t>
      </w:r>
      <w:r w:rsidR="00F97FF8" w:rsidRPr="00830CDD">
        <w:rPr>
          <w:rFonts w:ascii="Arial" w:hAnsi="Arial" w:cs="Arial"/>
          <w:i/>
          <w:iCs/>
        </w:rPr>
        <w:t xml:space="preserve">„Zarážející také je, že naprostá většina respondentů z této věkové skupiny neví, že vybitý přístroj </w:t>
      </w:r>
      <w:r w:rsidR="000A6489" w:rsidRPr="00830CDD">
        <w:rPr>
          <w:rFonts w:ascii="Arial" w:hAnsi="Arial" w:cs="Arial"/>
          <w:i/>
          <w:iCs/>
        </w:rPr>
        <w:t>mohou</w:t>
      </w:r>
      <w:r w:rsidR="00F97FF8" w:rsidRPr="00830CDD">
        <w:rPr>
          <w:rFonts w:ascii="Arial" w:hAnsi="Arial" w:cs="Arial"/>
          <w:i/>
          <w:iCs/>
        </w:rPr>
        <w:t xml:space="preserve"> bezplatně vrátit do</w:t>
      </w:r>
      <w:r w:rsidR="00350779" w:rsidRPr="00830CDD">
        <w:rPr>
          <w:rFonts w:ascii="Arial" w:hAnsi="Arial" w:cs="Arial"/>
          <w:i/>
          <w:iCs/>
        </w:rPr>
        <w:t xml:space="preserve"> trafiky</w:t>
      </w:r>
      <w:r w:rsidR="00723CF4" w:rsidRPr="00830CDD">
        <w:rPr>
          <w:rFonts w:ascii="Arial" w:hAnsi="Arial" w:cs="Arial"/>
          <w:i/>
          <w:iCs/>
        </w:rPr>
        <w:t xml:space="preserve">. </w:t>
      </w:r>
      <w:r w:rsidR="00081D64" w:rsidRPr="00830CDD">
        <w:rPr>
          <w:rFonts w:ascii="Arial" w:hAnsi="Arial" w:cs="Arial"/>
          <w:i/>
          <w:iCs/>
        </w:rPr>
        <w:t>Každý p</w:t>
      </w:r>
      <w:r w:rsidR="00CB6502" w:rsidRPr="00830CDD">
        <w:rPr>
          <w:rFonts w:ascii="Arial" w:hAnsi="Arial" w:cs="Arial"/>
          <w:i/>
          <w:iCs/>
        </w:rPr>
        <w:t>rodejce má</w:t>
      </w:r>
      <w:r w:rsidR="006232A3" w:rsidRPr="00830CDD">
        <w:rPr>
          <w:rFonts w:ascii="Arial" w:hAnsi="Arial" w:cs="Arial"/>
          <w:i/>
          <w:iCs/>
        </w:rPr>
        <w:t xml:space="preserve"> </w:t>
      </w:r>
      <w:r w:rsidR="000A6489" w:rsidRPr="00830CDD">
        <w:rPr>
          <w:rFonts w:ascii="Arial" w:hAnsi="Arial" w:cs="Arial"/>
          <w:i/>
          <w:iCs/>
        </w:rPr>
        <w:t>totiž</w:t>
      </w:r>
      <w:r w:rsidR="00CB6502" w:rsidRPr="00830CDD">
        <w:rPr>
          <w:rFonts w:ascii="Arial" w:hAnsi="Arial" w:cs="Arial"/>
          <w:i/>
          <w:iCs/>
        </w:rPr>
        <w:t xml:space="preserve"> </w:t>
      </w:r>
      <w:r w:rsidR="006232A3" w:rsidRPr="00830CDD">
        <w:rPr>
          <w:rFonts w:ascii="Arial" w:hAnsi="Arial" w:cs="Arial"/>
          <w:i/>
          <w:iCs/>
        </w:rPr>
        <w:t>p</w:t>
      </w:r>
      <w:r w:rsidR="00CB6502" w:rsidRPr="00830CDD">
        <w:rPr>
          <w:rFonts w:ascii="Arial" w:hAnsi="Arial" w:cs="Arial"/>
          <w:i/>
          <w:iCs/>
        </w:rPr>
        <w:t>ovinnost odpadní baterie</w:t>
      </w:r>
      <w:r w:rsidR="00081D64" w:rsidRPr="00830CDD">
        <w:rPr>
          <w:rFonts w:ascii="Arial" w:hAnsi="Arial" w:cs="Arial"/>
          <w:i/>
          <w:iCs/>
        </w:rPr>
        <w:t xml:space="preserve"> i elektrozařízení</w:t>
      </w:r>
      <w:r w:rsidR="00CB6502" w:rsidRPr="00830CDD">
        <w:rPr>
          <w:rFonts w:ascii="Arial" w:hAnsi="Arial" w:cs="Arial"/>
          <w:i/>
          <w:iCs/>
        </w:rPr>
        <w:t xml:space="preserve"> </w:t>
      </w:r>
      <w:r w:rsidR="00081D64" w:rsidRPr="00830CDD">
        <w:rPr>
          <w:rFonts w:ascii="Arial" w:hAnsi="Arial" w:cs="Arial"/>
          <w:i/>
          <w:iCs/>
        </w:rPr>
        <w:t>od zákazníka zdarma odebrat při nákupu nového výrobku.</w:t>
      </w:r>
      <w:r w:rsidR="00830CDD" w:rsidRPr="00830CDD">
        <w:rPr>
          <w:rFonts w:ascii="Arial" w:hAnsi="Arial" w:cs="Arial"/>
          <w:i/>
          <w:iCs/>
        </w:rPr>
        <w:t>“</w:t>
      </w:r>
      <w:r w:rsidR="00081D64" w:rsidRPr="00830CDD">
        <w:rPr>
          <w:rFonts w:ascii="Arial" w:hAnsi="Arial" w:cs="Arial"/>
        </w:rPr>
        <w:t xml:space="preserve"> Prodejny s větší prodejní plochou </w:t>
      </w:r>
      <w:r w:rsidR="00B667D0">
        <w:rPr>
          <w:rFonts w:ascii="Arial" w:hAnsi="Arial" w:cs="Arial"/>
        </w:rPr>
        <w:t>(</w:t>
      </w:r>
      <w:r w:rsidR="00081D64" w:rsidRPr="00830CDD">
        <w:rPr>
          <w:rFonts w:ascii="Arial" w:hAnsi="Arial" w:cs="Arial"/>
        </w:rPr>
        <w:t>nad 200 m</w:t>
      </w:r>
      <w:r w:rsidR="00081D64" w:rsidRPr="00830CDD">
        <w:rPr>
          <w:rFonts w:ascii="Arial" w:hAnsi="Arial" w:cs="Arial"/>
          <w:vertAlign w:val="superscript"/>
        </w:rPr>
        <w:t xml:space="preserve">2 </w:t>
      </w:r>
      <w:r w:rsidR="00B667D0" w:rsidRPr="00B667D0">
        <w:rPr>
          <w:rFonts w:ascii="Arial" w:hAnsi="Arial" w:cs="Arial"/>
        </w:rPr>
        <w:t>)</w:t>
      </w:r>
      <w:r w:rsidR="00B667D0">
        <w:rPr>
          <w:rFonts w:ascii="Arial" w:hAnsi="Arial" w:cs="Arial"/>
        </w:rPr>
        <w:t xml:space="preserve"> </w:t>
      </w:r>
      <w:r w:rsidR="00081D64" w:rsidRPr="00830CDD">
        <w:rPr>
          <w:rFonts w:ascii="Arial" w:hAnsi="Arial" w:cs="Arial"/>
        </w:rPr>
        <w:t>musí zřídit veřejné místo pro sběr použitých malých elektrozařízení</w:t>
      </w:r>
      <w:r w:rsidR="00830CDD" w:rsidRPr="00830CDD">
        <w:rPr>
          <w:rFonts w:ascii="Arial" w:hAnsi="Arial" w:cs="Arial"/>
        </w:rPr>
        <w:t xml:space="preserve">. </w:t>
      </w:r>
    </w:p>
    <w:p w14:paraId="6F4E9BF4" w14:textId="77777777" w:rsidR="00830CDD" w:rsidRDefault="00830CDD" w:rsidP="00830CDD">
      <w:pPr>
        <w:jc w:val="both"/>
        <w:rPr>
          <w:rFonts w:ascii="Arial" w:hAnsi="Arial" w:cs="Arial"/>
          <w:b/>
          <w:bCs/>
        </w:rPr>
      </w:pPr>
    </w:p>
    <w:p w14:paraId="2C99DDE4" w14:textId="35C1E11E" w:rsidR="00B31BDC" w:rsidRDefault="00D569C6" w:rsidP="00830CDD">
      <w:pPr>
        <w:jc w:val="center"/>
        <w:rPr>
          <w:rFonts w:ascii="Arial" w:hAnsi="Arial" w:cs="Arial"/>
          <w:b/>
          <w:bCs/>
        </w:rPr>
      </w:pPr>
      <w:r w:rsidRPr="00D569C6">
        <w:rPr>
          <w:rFonts w:ascii="Arial" w:hAnsi="Arial" w:cs="Arial"/>
          <w:b/>
          <w:bCs/>
        </w:rPr>
        <w:t>Kam vyhazujete elektronické cigarety po jejich vykouření?</w:t>
      </w:r>
      <w:r w:rsidR="00F1035F">
        <w:rPr>
          <w:rFonts w:ascii="Arial" w:hAnsi="Arial" w:cs="Arial"/>
          <w:b/>
          <w:bCs/>
        </w:rPr>
        <w:br/>
      </w:r>
      <w:r w:rsidR="00F1035F" w:rsidRPr="00F1035F">
        <w:rPr>
          <w:rFonts w:ascii="Arial" w:hAnsi="Arial" w:cs="Arial"/>
          <w:sz w:val="18"/>
          <w:szCs w:val="18"/>
        </w:rPr>
        <w:t>(uvedeno v %)</w:t>
      </w:r>
    </w:p>
    <w:tbl>
      <w:tblPr>
        <w:tblStyle w:val="Mkatabulky"/>
        <w:tblW w:w="0" w:type="auto"/>
        <w:tblInd w:w="241" w:type="dxa"/>
        <w:tblLook w:val="04A0" w:firstRow="1" w:lastRow="0" w:firstColumn="1" w:lastColumn="0" w:noHBand="0" w:noVBand="1"/>
      </w:tblPr>
      <w:tblGrid>
        <w:gridCol w:w="2904"/>
        <w:gridCol w:w="1134"/>
        <w:gridCol w:w="1134"/>
        <w:gridCol w:w="1134"/>
        <w:gridCol w:w="1134"/>
        <w:gridCol w:w="1134"/>
      </w:tblGrid>
      <w:tr w:rsidR="00966512" w14:paraId="733C9C90" w14:textId="512A194E" w:rsidTr="00683BD2">
        <w:tc>
          <w:tcPr>
            <w:tcW w:w="2904" w:type="dxa"/>
          </w:tcPr>
          <w:p w14:paraId="4D522EC8" w14:textId="77777777" w:rsidR="00966512" w:rsidRPr="003308D2" w:rsidRDefault="00966512" w:rsidP="00C139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D9971B" w14:textId="1FFD1C41" w:rsidR="00966512" w:rsidRPr="00683BD2" w:rsidRDefault="00966512" w:rsidP="00C1399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BD2">
              <w:rPr>
                <w:rFonts w:ascii="Arial" w:hAnsi="Arial" w:cs="Arial"/>
                <w:b/>
                <w:bCs/>
                <w:sz w:val="18"/>
                <w:szCs w:val="18"/>
              </w:rPr>
              <w:t>18–26 let</w:t>
            </w:r>
          </w:p>
        </w:tc>
        <w:tc>
          <w:tcPr>
            <w:tcW w:w="1134" w:type="dxa"/>
          </w:tcPr>
          <w:p w14:paraId="0A86DF99" w14:textId="442F2F2B" w:rsidR="00966512" w:rsidRPr="00683BD2" w:rsidRDefault="00966512" w:rsidP="00C1399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BD2">
              <w:rPr>
                <w:rFonts w:ascii="Arial" w:hAnsi="Arial" w:cs="Arial"/>
                <w:b/>
                <w:bCs/>
                <w:sz w:val="18"/>
                <w:szCs w:val="18"/>
              </w:rPr>
              <w:t>27–35 let</w:t>
            </w:r>
          </w:p>
        </w:tc>
        <w:tc>
          <w:tcPr>
            <w:tcW w:w="1134" w:type="dxa"/>
          </w:tcPr>
          <w:p w14:paraId="45A34350" w14:textId="2681E2BA" w:rsidR="00966512" w:rsidRPr="00683BD2" w:rsidRDefault="00966512" w:rsidP="00C1399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BD2">
              <w:rPr>
                <w:rFonts w:ascii="Arial" w:hAnsi="Arial" w:cs="Arial"/>
                <w:b/>
                <w:bCs/>
                <w:sz w:val="18"/>
                <w:szCs w:val="18"/>
              </w:rPr>
              <w:t>36–44 let</w:t>
            </w:r>
          </w:p>
        </w:tc>
        <w:tc>
          <w:tcPr>
            <w:tcW w:w="1134" w:type="dxa"/>
          </w:tcPr>
          <w:p w14:paraId="319419F0" w14:textId="41720366" w:rsidR="00966512" w:rsidRPr="00683BD2" w:rsidRDefault="00966512" w:rsidP="00C1399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BD2">
              <w:rPr>
                <w:rFonts w:ascii="Arial" w:hAnsi="Arial" w:cs="Arial"/>
                <w:b/>
                <w:bCs/>
                <w:sz w:val="18"/>
                <w:szCs w:val="18"/>
              </w:rPr>
              <w:t>45–53 let</w:t>
            </w:r>
          </w:p>
        </w:tc>
        <w:tc>
          <w:tcPr>
            <w:tcW w:w="1134" w:type="dxa"/>
          </w:tcPr>
          <w:p w14:paraId="571994E9" w14:textId="755324B4" w:rsidR="00966512" w:rsidRPr="00683BD2" w:rsidRDefault="00966512" w:rsidP="00C1399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BD2">
              <w:rPr>
                <w:rFonts w:ascii="Arial" w:hAnsi="Arial" w:cs="Arial"/>
                <w:b/>
                <w:bCs/>
                <w:sz w:val="18"/>
                <w:szCs w:val="18"/>
              </w:rPr>
              <w:t>54–65 let</w:t>
            </w:r>
          </w:p>
        </w:tc>
      </w:tr>
      <w:tr w:rsidR="00966512" w14:paraId="51F3DAB2" w14:textId="184893B4" w:rsidTr="00683BD2">
        <w:tc>
          <w:tcPr>
            <w:tcW w:w="2904" w:type="dxa"/>
          </w:tcPr>
          <w:p w14:paraId="774F320D" w14:textId="459BED2C" w:rsidR="00966512" w:rsidRPr="003308D2" w:rsidRDefault="00966512" w:rsidP="00966512">
            <w:pPr>
              <w:rPr>
                <w:rFonts w:ascii="Arial" w:hAnsi="Arial" w:cs="Arial"/>
                <w:sz w:val="18"/>
                <w:szCs w:val="18"/>
              </w:rPr>
            </w:pPr>
            <w:r w:rsidRPr="003308D2">
              <w:rPr>
                <w:rFonts w:ascii="Arial" w:hAnsi="Arial" w:cs="Arial"/>
                <w:sz w:val="18"/>
                <w:szCs w:val="18"/>
              </w:rPr>
              <w:t>Do běžného směsného odpadu</w:t>
            </w:r>
          </w:p>
        </w:tc>
        <w:tc>
          <w:tcPr>
            <w:tcW w:w="1134" w:type="dxa"/>
          </w:tcPr>
          <w:p w14:paraId="344012BC" w14:textId="1C6CC371" w:rsidR="00966512" w:rsidRPr="00F140CF" w:rsidRDefault="00F1035F" w:rsidP="00C1399D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140CF">
              <w:rPr>
                <w:rFonts w:ascii="Arial" w:hAnsi="Arial" w:cs="Arial"/>
                <w:color w:val="FF0000"/>
                <w:sz w:val="18"/>
                <w:szCs w:val="18"/>
              </w:rPr>
              <w:t xml:space="preserve">66,7 </w:t>
            </w:r>
          </w:p>
        </w:tc>
        <w:tc>
          <w:tcPr>
            <w:tcW w:w="1134" w:type="dxa"/>
          </w:tcPr>
          <w:p w14:paraId="191B936F" w14:textId="549C49B4" w:rsidR="00966512" w:rsidRPr="00F140CF" w:rsidRDefault="003F5BA9" w:rsidP="00C1399D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140CF">
              <w:rPr>
                <w:rFonts w:ascii="Arial" w:hAnsi="Arial" w:cs="Arial"/>
                <w:color w:val="FF0000"/>
                <w:sz w:val="18"/>
                <w:szCs w:val="18"/>
              </w:rPr>
              <w:t>55,6</w:t>
            </w:r>
          </w:p>
        </w:tc>
        <w:tc>
          <w:tcPr>
            <w:tcW w:w="1134" w:type="dxa"/>
          </w:tcPr>
          <w:p w14:paraId="62101C64" w14:textId="093A26F8" w:rsidR="00966512" w:rsidRPr="00F140CF" w:rsidRDefault="000B4E68" w:rsidP="00C1399D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140CF">
              <w:rPr>
                <w:rFonts w:ascii="Arial" w:hAnsi="Arial" w:cs="Arial"/>
                <w:color w:val="FF0000"/>
                <w:sz w:val="18"/>
                <w:szCs w:val="18"/>
              </w:rPr>
              <w:t>6</w:t>
            </w:r>
            <w:r w:rsidR="00830CDD">
              <w:rPr>
                <w:rFonts w:ascii="Arial" w:hAnsi="Arial" w:cs="Arial"/>
                <w:color w:val="FF0000"/>
                <w:sz w:val="18"/>
                <w:szCs w:val="18"/>
              </w:rPr>
              <w:t>1,1</w:t>
            </w:r>
          </w:p>
        </w:tc>
        <w:tc>
          <w:tcPr>
            <w:tcW w:w="1134" w:type="dxa"/>
          </w:tcPr>
          <w:p w14:paraId="597BCAD3" w14:textId="531C8B1F" w:rsidR="00966512" w:rsidRPr="00F140CF" w:rsidRDefault="00D637BD" w:rsidP="00C1399D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140CF">
              <w:rPr>
                <w:rFonts w:ascii="Arial" w:hAnsi="Arial" w:cs="Arial"/>
                <w:color w:val="FF0000"/>
                <w:sz w:val="18"/>
                <w:szCs w:val="18"/>
              </w:rPr>
              <w:t>46,2</w:t>
            </w:r>
          </w:p>
        </w:tc>
        <w:tc>
          <w:tcPr>
            <w:tcW w:w="1134" w:type="dxa"/>
          </w:tcPr>
          <w:p w14:paraId="33571BE3" w14:textId="147F6D89" w:rsidR="00966512" w:rsidRPr="00F140CF" w:rsidRDefault="00683BD2" w:rsidP="00C1399D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140CF">
              <w:rPr>
                <w:rFonts w:ascii="Arial" w:hAnsi="Arial" w:cs="Arial"/>
                <w:color w:val="FF0000"/>
                <w:sz w:val="18"/>
                <w:szCs w:val="18"/>
              </w:rPr>
              <w:t>48,4</w:t>
            </w:r>
          </w:p>
        </w:tc>
      </w:tr>
      <w:tr w:rsidR="00966512" w14:paraId="2617994B" w14:textId="074594A3" w:rsidTr="00683BD2">
        <w:tc>
          <w:tcPr>
            <w:tcW w:w="2904" w:type="dxa"/>
          </w:tcPr>
          <w:p w14:paraId="1319C28C" w14:textId="260CD757" w:rsidR="00966512" w:rsidRPr="003308D2" w:rsidRDefault="00966512" w:rsidP="00966512">
            <w:pPr>
              <w:rPr>
                <w:rFonts w:ascii="Arial" w:hAnsi="Arial" w:cs="Arial"/>
                <w:sz w:val="18"/>
                <w:szCs w:val="18"/>
              </w:rPr>
            </w:pPr>
            <w:r w:rsidRPr="003308D2">
              <w:rPr>
                <w:rFonts w:ascii="Arial" w:hAnsi="Arial" w:cs="Arial"/>
                <w:sz w:val="18"/>
                <w:szCs w:val="18"/>
              </w:rPr>
              <w:t>Odnáším je zpět do trafiky či obchodu, kde jsem je koupil/a</w:t>
            </w:r>
          </w:p>
        </w:tc>
        <w:tc>
          <w:tcPr>
            <w:tcW w:w="1134" w:type="dxa"/>
          </w:tcPr>
          <w:p w14:paraId="5E492D34" w14:textId="4C00D0FB" w:rsidR="00966512" w:rsidRPr="003308D2" w:rsidRDefault="003308D2" w:rsidP="00C139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8D2"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  <w:tc>
          <w:tcPr>
            <w:tcW w:w="1134" w:type="dxa"/>
          </w:tcPr>
          <w:p w14:paraId="38581482" w14:textId="1F5FA731" w:rsidR="00966512" w:rsidRPr="003308D2" w:rsidRDefault="003F5BA9" w:rsidP="00C139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7,4</w:t>
            </w:r>
          </w:p>
        </w:tc>
        <w:tc>
          <w:tcPr>
            <w:tcW w:w="1134" w:type="dxa"/>
          </w:tcPr>
          <w:p w14:paraId="0BA7C2FB" w14:textId="6AC17AD2" w:rsidR="00966512" w:rsidRPr="003308D2" w:rsidRDefault="000B4E68" w:rsidP="00C139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</w:t>
            </w:r>
            <w:r w:rsidR="00830C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A45C09D" w14:textId="4E83D324" w:rsidR="00966512" w:rsidRPr="003308D2" w:rsidRDefault="00D637BD" w:rsidP="00C139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1134" w:type="dxa"/>
          </w:tcPr>
          <w:p w14:paraId="1363DD6D" w14:textId="7CFC31ED" w:rsidR="00966512" w:rsidRPr="003308D2" w:rsidRDefault="00683BD2" w:rsidP="00C139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</w:tr>
      <w:tr w:rsidR="00966512" w14:paraId="0EB0A2C3" w14:textId="4BC39763" w:rsidTr="00683BD2">
        <w:tc>
          <w:tcPr>
            <w:tcW w:w="2904" w:type="dxa"/>
          </w:tcPr>
          <w:p w14:paraId="72609275" w14:textId="2922A2BC" w:rsidR="00966512" w:rsidRPr="003308D2" w:rsidRDefault="00966512" w:rsidP="00966512">
            <w:pPr>
              <w:rPr>
                <w:rFonts w:ascii="Arial" w:hAnsi="Arial" w:cs="Arial"/>
                <w:sz w:val="18"/>
                <w:szCs w:val="18"/>
              </w:rPr>
            </w:pPr>
            <w:r w:rsidRPr="003308D2">
              <w:rPr>
                <w:rFonts w:ascii="Arial" w:hAnsi="Arial" w:cs="Arial"/>
                <w:sz w:val="18"/>
                <w:szCs w:val="18"/>
              </w:rPr>
              <w:t>Do sběrné nádoby na baterie (v obchodě, na poště, na MÚ…)</w:t>
            </w:r>
          </w:p>
        </w:tc>
        <w:tc>
          <w:tcPr>
            <w:tcW w:w="1134" w:type="dxa"/>
          </w:tcPr>
          <w:p w14:paraId="7DDF85E4" w14:textId="5AB70595" w:rsidR="00966512" w:rsidRPr="003308D2" w:rsidRDefault="003308D2" w:rsidP="00C139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8D2">
              <w:rPr>
                <w:rFonts w:ascii="Arial" w:hAnsi="Arial" w:cs="Arial"/>
                <w:sz w:val="18"/>
                <w:szCs w:val="18"/>
              </w:rPr>
              <w:t>9,5</w:t>
            </w:r>
          </w:p>
        </w:tc>
        <w:tc>
          <w:tcPr>
            <w:tcW w:w="1134" w:type="dxa"/>
          </w:tcPr>
          <w:p w14:paraId="0320718B" w14:textId="2F809B57" w:rsidR="00966512" w:rsidRPr="003308D2" w:rsidRDefault="003F5BA9" w:rsidP="00C139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22,2</w:t>
            </w:r>
          </w:p>
        </w:tc>
        <w:tc>
          <w:tcPr>
            <w:tcW w:w="1134" w:type="dxa"/>
          </w:tcPr>
          <w:p w14:paraId="43DC9059" w14:textId="3CC758E6" w:rsidR="00966512" w:rsidRPr="003308D2" w:rsidRDefault="000B4E68" w:rsidP="00C139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E451CC9" w14:textId="5783EF61" w:rsidR="00966512" w:rsidRPr="003308D2" w:rsidRDefault="00D637BD" w:rsidP="00C139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15,4</w:t>
            </w:r>
          </w:p>
        </w:tc>
        <w:tc>
          <w:tcPr>
            <w:tcW w:w="1134" w:type="dxa"/>
          </w:tcPr>
          <w:p w14:paraId="29939F69" w14:textId="235A39DE" w:rsidR="00966512" w:rsidRPr="003308D2" w:rsidRDefault="00683BD2" w:rsidP="00C139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25,8</w:t>
            </w:r>
          </w:p>
        </w:tc>
      </w:tr>
      <w:tr w:rsidR="00966512" w14:paraId="2019E551" w14:textId="05440963" w:rsidTr="00683BD2">
        <w:tc>
          <w:tcPr>
            <w:tcW w:w="2904" w:type="dxa"/>
          </w:tcPr>
          <w:p w14:paraId="2960CE56" w14:textId="1DA2582A" w:rsidR="00966512" w:rsidRPr="003308D2" w:rsidRDefault="00966512" w:rsidP="00966512">
            <w:pPr>
              <w:rPr>
                <w:rFonts w:ascii="Arial" w:hAnsi="Arial" w:cs="Arial"/>
                <w:sz w:val="18"/>
                <w:szCs w:val="18"/>
              </w:rPr>
            </w:pPr>
            <w:r w:rsidRPr="003308D2">
              <w:rPr>
                <w:rFonts w:ascii="Arial" w:hAnsi="Arial" w:cs="Arial"/>
                <w:sz w:val="18"/>
                <w:szCs w:val="18"/>
              </w:rPr>
              <w:t>Do červeného kontejneru, který je určen k ekologické likvidaci malých elektrospotřebičů</w:t>
            </w:r>
          </w:p>
        </w:tc>
        <w:tc>
          <w:tcPr>
            <w:tcW w:w="1134" w:type="dxa"/>
          </w:tcPr>
          <w:p w14:paraId="01D88C44" w14:textId="005A8D71" w:rsidR="00966512" w:rsidRPr="003308D2" w:rsidRDefault="003308D2" w:rsidP="00C139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8D2">
              <w:rPr>
                <w:rFonts w:ascii="Arial" w:hAnsi="Arial" w:cs="Arial"/>
                <w:sz w:val="18"/>
                <w:szCs w:val="18"/>
              </w:rPr>
              <w:t>9,5</w:t>
            </w:r>
          </w:p>
        </w:tc>
        <w:tc>
          <w:tcPr>
            <w:tcW w:w="1134" w:type="dxa"/>
          </w:tcPr>
          <w:p w14:paraId="6B89CA11" w14:textId="4E57E3FE" w:rsidR="00966512" w:rsidRPr="003308D2" w:rsidRDefault="003F5BA9" w:rsidP="00C139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7,4</w:t>
            </w:r>
          </w:p>
        </w:tc>
        <w:tc>
          <w:tcPr>
            <w:tcW w:w="1134" w:type="dxa"/>
          </w:tcPr>
          <w:p w14:paraId="2F6C9B64" w14:textId="0AF3EBAF" w:rsidR="00966512" w:rsidRPr="003308D2" w:rsidRDefault="000B4E68" w:rsidP="00C139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21,7</w:t>
            </w:r>
          </w:p>
        </w:tc>
        <w:tc>
          <w:tcPr>
            <w:tcW w:w="1134" w:type="dxa"/>
          </w:tcPr>
          <w:p w14:paraId="6D8397FD" w14:textId="7C61E4B7" w:rsidR="00966512" w:rsidRPr="003308D2" w:rsidRDefault="00D637BD" w:rsidP="00C139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1134" w:type="dxa"/>
          </w:tcPr>
          <w:p w14:paraId="1E28DD6E" w14:textId="4EEACF8C" w:rsidR="00966512" w:rsidRPr="003308D2" w:rsidRDefault="00683BD2" w:rsidP="00C139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</w:tr>
      <w:tr w:rsidR="00966512" w14:paraId="2ED3A5B2" w14:textId="5503345C" w:rsidTr="00683BD2">
        <w:tc>
          <w:tcPr>
            <w:tcW w:w="2904" w:type="dxa"/>
          </w:tcPr>
          <w:p w14:paraId="1C7F17A4" w14:textId="1B670EC9" w:rsidR="00966512" w:rsidRPr="003308D2" w:rsidRDefault="00966512" w:rsidP="00966512">
            <w:pPr>
              <w:rPr>
                <w:rFonts w:ascii="Arial" w:hAnsi="Arial" w:cs="Arial"/>
                <w:sz w:val="18"/>
                <w:szCs w:val="18"/>
              </w:rPr>
            </w:pPr>
            <w:r w:rsidRPr="003308D2">
              <w:rPr>
                <w:rFonts w:ascii="Arial" w:hAnsi="Arial" w:cs="Arial"/>
                <w:sz w:val="18"/>
                <w:szCs w:val="18"/>
              </w:rPr>
              <w:t>Jiné</w:t>
            </w:r>
          </w:p>
        </w:tc>
        <w:tc>
          <w:tcPr>
            <w:tcW w:w="1134" w:type="dxa"/>
          </w:tcPr>
          <w:p w14:paraId="52BA9F6E" w14:textId="2CF0DE27" w:rsidR="00966512" w:rsidRPr="003308D2" w:rsidRDefault="003308D2" w:rsidP="00C139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8D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C832948" w14:textId="106B1866" w:rsidR="00966512" w:rsidRPr="003308D2" w:rsidRDefault="000B4E68" w:rsidP="00C139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7,4</w:t>
            </w:r>
          </w:p>
        </w:tc>
        <w:tc>
          <w:tcPr>
            <w:tcW w:w="1134" w:type="dxa"/>
          </w:tcPr>
          <w:p w14:paraId="05B81724" w14:textId="40F930B1" w:rsidR="00966512" w:rsidRPr="003308D2" w:rsidRDefault="000B4E68" w:rsidP="00C139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7C213DEE" w14:textId="5BFF185C" w:rsidR="00966512" w:rsidRPr="003308D2" w:rsidRDefault="00D637BD" w:rsidP="00C139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7,7</w:t>
            </w:r>
          </w:p>
        </w:tc>
        <w:tc>
          <w:tcPr>
            <w:tcW w:w="1134" w:type="dxa"/>
          </w:tcPr>
          <w:p w14:paraId="76FC91BF" w14:textId="0670AF15" w:rsidR="00966512" w:rsidRPr="003308D2" w:rsidRDefault="00683BD2" w:rsidP="00C139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9,7</w:t>
            </w:r>
          </w:p>
        </w:tc>
      </w:tr>
    </w:tbl>
    <w:p w14:paraId="64424231" w14:textId="76AEADAE" w:rsidR="00D569C6" w:rsidRDefault="00D569C6" w:rsidP="00C1399D">
      <w:pPr>
        <w:jc w:val="both"/>
        <w:rPr>
          <w:rFonts w:ascii="Arial" w:hAnsi="Arial" w:cs="Arial"/>
          <w:b/>
          <w:bCs/>
        </w:rPr>
      </w:pPr>
    </w:p>
    <w:p w14:paraId="4BA5F07F" w14:textId="4E733A93" w:rsidR="00E43973" w:rsidRDefault="00E43973" w:rsidP="00C1399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Vliv e-cigaret na životní prostředí</w:t>
      </w:r>
    </w:p>
    <w:p w14:paraId="0A3F540A" w14:textId="7A83EDDF" w:rsidR="00A87ED1" w:rsidRDefault="00E712AC" w:rsidP="00C139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Podle oficiálních zdrojů </w:t>
      </w:r>
      <w:r w:rsidR="00653B27">
        <w:rPr>
          <w:rFonts w:ascii="Arial" w:hAnsi="Arial" w:cs="Arial"/>
        </w:rPr>
        <w:t>CDC (</w:t>
      </w:r>
      <w:proofErr w:type="spellStart"/>
      <w:r w:rsidR="00653B27" w:rsidRPr="00653B27">
        <w:rPr>
          <w:rFonts w:ascii="Arial" w:hAnsi="Arial" w:cs="Arial"/>
        </w:rPr>
        <w:t>Centers</w:t>
      </w:r>
      <w:proofErr w:type="spellEnd"/>
      <w:r w:rsidR="00653B27" w:rsidRPr="00653B27">
        <w:rPr>
          <w:rFonts w:ascii="Arial" w:hAnsi="Arial" w:cs="Arial"/>
        </w:rPr>
        <w:t xml:space="preserve"> </w:t>
      </w:r>
      <w:proofErr w:type="spellStart"/>
      <w:r w:rsidR="00653B27" w:rsidRPr="00653B27">
        <w:rPr>
          <w:rFonts w:ascii="Arial" w:hAnsi="Arial" w:cs="Arial"/>
        </w:rPr>
        <w:t>for</w:t>
      </w:r>
      <w:proofErr w:type="spellEnd"/>
      <w:r w:rsidR="00653B27" w:rsidRPr="00653B27">
        <w:rPr>
          <w:rFonts w:ascii="Arial" w:hAnsi="Arial" w:cs="Arial"/>
        </w:rPr>
        <w:t xml:space="preserve"> </w:t>
      </w:r>
      <w:proofErr w:type="spellStart"/>
      <w:r w:rsidR="00653B27" w:rsidRPr="00653B27">
        <w:rPr>
          <w:rFonts w:ascii="Arial" w:hAnsi="Arial" w:cs="Arial"/>
        </w:rPr>
        <w:t>Disease</w:t>
      </w:r>
      <w:proofErr w:type="spellEnd"/>
      <w:r w:rsidR="00653B27" w:rsidRPr="00653B27">
        <w:rPr>
          <w:rFonts w:ascii="Arial" w:hAnsi="Arial" w:cs="Arial"/>
        </w:rPr>
        <w:t xml:space="preserve"> </w:t>
      </w:r>
      <w:proofErr w:type="spellStart"/>
      <w:r w:rsidR="00653B27" w:rsidRPr="00653B27">
        <w:rPr>
          <w:rFonts w:ascii="Arial" w:hAnsi="Arial" w:cs="Arial"/>
        </w:rPr>
        <w:t>Control</w:t>
      </w:r>
      <w:proofErr w:type="spellEnd"/>
      <w:r w:rsidR="00653B27" w:rsidRPr="00653B27">
        <w:rPr>
          <w:rFonts w:ascii="Arial" w:hAnsi="Arial" w:cs="Arial"/>
        </w:rPr>
        <w:t xml:space="preserve"> and </w:t>
      </w:r>
      <w:proofErr w:type="spellStart"/>
      <w:r w:rsidR="00653B27" w:rsidRPr="00653B27">
        <w:rPr>
          <w:rFonts w:ascii="Arial" w:hAnsi="Arial" w:cs="Arial"/>
        </w:rPr>
        <w:t>Prevention</w:t>
      </w:r>
      <w:proofErr w:type="spellEnd"/>
      <w:r w:rsidR="00653B27" w:rsidRPr="00653B27">
        <w:rPr>
          <w:rFonts w:ascii="Arial" w:hAnsi="Arial" w:cs="Arial"/>
        </w:rPr>
        <w:t>)</w:t>
      </w:r>
      <w:r w:rsidR="00B06E26">
        <w:rPr>
          <w:rFonts w:ascii="Arial" w:hAnsi="Arial" w:cs="Arial"/>
        </w:rPr>
        <w:t xml:space="preserve"> se v období od ledna 2020 do prosince 2022 </w:t>
      </w:r>
      <w:r w:rsidR="009642FC">
        <w:rPr>
          <w:rFonts w:ascii="Arial" w:hAnsi="Arial" w:cs="Arial"/>
        </w:rPr>
        <w:t>jen v USA zvedl prodej e-cigaret z 15,5 milionu na 22,7 milionů</w:t>
      </w:r>
      <w:r w:rsidR="00F610A4">
        <w:rPr>
          <w:rFonts w:ascii="Arial" w:hAnsi="Arial" w:cs="Arial"/>
        </w:rPr>
        <w:t xml:space="preserve">. </w:t>
      </w:r>
      <w:r w:rsidR="00C1653D">
        <w:rPr>
          <w:rFonts w:ascii="Arial" w:hAnsi="Arial" w:cs="Arial"/>
        </w:rPr>
        <w:t>Celosvětově se</w:t>
      </w:r>
      <w:r w:rsidR="007202A1">
        <w:rPr>
          <w:rFonts w:ascii="Arial" w:hAnsi="Arial" w:cs="Arial"/>
        </w:rPr>
        <w:t xml:space="preserve"> počet lidí holdujících </w:t>
      </w:r>
      <w:proofErr w:type="spellStart"/>
      <w:r w:rsidR="007202A1">
        <w:rPr>
          <w:rFonts w:ascii="Arial" w:hAnsi="Arial" w:cs="Arial"/>
        </w:rPr>
        <w:t>vapování</w:t>
      </w:r>
      <w:proofErr w:type="spellEnd"/>
      <w:r w:rsidR="007202A1">
        <w:rPr>
          <w:rFonts w:ascii="Arial" w:hAnsi="Arial" w:cs="Arial"/>
        </w:rPr>
        <w:t xml:space="preserve"> pohybuje kolem 82 milionů. </w:t>
      </w:r>
      <w:r w:rsidR="00E27E20">
        <w:rPr>
          <w:rFonts w:ascii="Arial" w:hAnsi="Arial" w:cs="Arial"/>
        </w:rPr>
        <w:t>Nejen výroba, ale zejména nesprávná likvidace</w:t>
      </w:r>
      <w:r w:rsidR="00F466F1">
        <w:rPr>
          <w:rFonts w:ascii="Arial" w:hAnsi="Arial" w:cs="Arial"/>
        </w:rPr>
        <w:t xml:space="preserve"> vybit</w:t>
      </w:r>
      <w:r w:rsidR="0029017A">
        <w:rPr>
          <w:rFonts w:ascii="Arial" w:hAnsi="Arial" w:cs="Arial"/>
        </w:rPr>
        <w:t>ých</w:t>
      </w:r>
      <w:r w:rsidR="00F466F1">
        <w:rPr>
          <w:rFonts w:ascii="Arial" w:hAnsi="Arial" w:cs="Arial"/>
        </w:rPr>
        <w:t xml:space="preserve"> </w:t>
      </w:r>
      <w:r w:rsidR="00A87ED1">
        <w:rPr>
          <w:rFonts w:ascii="Arial" w:hAnsi="Arial" w:cs="Arial"/>
        </w:rPr>
        <w:t>e-cigaret</w:t>
      </w:r>
      <w:r w:rsidR="00E27E20">
        <w:rPr>
          <w:rFonts w:ascii="Arial" w:hAnsi="Arial" w:cs="Arial"/>
        </w:rPr>
        <w:t xml:space="preserve"> má </w:t>
      </w:r>
      <w:r w:rsidR="00130502" w:rsidRPr="00830CDD">
        <w:rPr>
          <w:rFonts w:ascii="Arial" w:hAnsi="Arial" w:cs="Arial"/>
        </w:rPr>
        <w:t>však</w:t>
      </w:r>
      <w:r w:rsidR="00130502">
        <w:rPr>
          <w:rFonts w:ascii="Arial" w:hAnsi="Arial" w:cs="Arial"/>
        </w:rPr>
        <w:t xml:space="preserve"> </w:t>
      </w:r>
      <w:r w:rsidR="00E27E20">
        <w:rPr>
          <w:rFonts w:ascii="Arial" w:hAnsi="Arial" w:cs="Arial"/>
        </w:rPr>
        <w:t xml:space="preserve">zásadní vliv na </w:t>
      </w:r>
      <w:r w:rsidR="00F466F1">
        <w:rPr>
          <w:rFonts w:ascii="Arial" w:hAnsi="Arial" w:cs="Arial"/>
        </w:rPr>
        <w:t xml:space="preserve">životní </w:t>
      </w:r>
      <w:r w:rsidR="00E27E20">
        <w:rPr>
          <w:rFonts w:ascii="Arial" w:hAnsi="Arial" w:cs="Arial"/>
        </w:rPr>
        <w:t xml:space="preserve">prostředí. </w:t>
      </w:r>
      <w:r w:rsidR="002E278C">
        <w:rPr>
          <w:rFonts w:ascii="Arial" w:hAnsi="Arial" w:cs="Arial"/>
        </w:rPr>
        <w:br/>
      </w:r>
      <w:r w:rsidR="00C924E8">
        <w:rPr>
          <w:rFonts w:ascii="Arial" w:hAnsi="Arial" w:cs="Arial"/>
        </w:rPr>
        <w:t>Téměř 90 % účastníků aktuálního průzkumu spol</w:t>
      </w:r>
      <w:r w:rsidR="002E278C">
        <w:rPr>
          <w:rFonts w:ascii="Arial" w:hAnsi="Arial" w:cs="Arial"/>
        </w:rPr>
        <w:t>ečnosti Ecobat</w:t>
      </w:r>
      <w:r w:rsidR="00C924E8">
        <w:rPr>
          <w:rFonts w:ascii="Arial" w:hAnsi="Arial" w:cs="Arial"/>
        </w:rPr>
        <w:t xml:space="preserve"> uvedla, že si je vědoma </w:t>
      </w:r>
      <w:r w:rsidR="00A577C0">
        <w:rPr>
          <w:rFonts w:ascii="Arial" w:hAnsi="Arial" w:cs="Arial"/>
        </w:rPr>
        <w:t>toho, že výroba elektronických cigaret není ekologická.</w:t>
      </w:r>
    </w:p>
    <w:p w14:paraId="6D661BF6" w14:textId="07ED3DA4" w:rsidR="00F466F1" w:rsidRDefault="00D111C4" w:rsidP="00C1399D">
      <w:pPr>
        <w:jc w:val="both"/>
        <w:rPr>
          <w:rFonts w:ascii="Arial" w:hAnsi="Arial" w:cs="Arial"/>
          <w:b/>
          <w:bCs/>
        </w:rPr>
      </w:pPr>
      <w:r w:rsidRPr="00D111C4">
        <w:rPr>
          <w:rFonts w:ascii="Arial" w:hAnsi="Arial" w:cs="Arial"/>
          <w:b/>
          <w:bCs/>
        </w:rPr>
        <w:t xml:space="preserve">Nerozebírat, ale správně </w:t>
      </w:r>
      <w:r w:rsidR="006C242B">
        <w:rPr>
          <w:rFonts w:ascii="Arial" w:hAnsi="Arial" w:cs="Arial"/>
          <w:b/>
          <w:bCs/>
        </w:rPr>
        <w:t>třídit</w:t>
      </w:r>
    </w:p>
    <w:p w14:paraId="348C5CB6" w14:textId="72BB019C" w:rsidR="00EC0B6C" w:rsidRDefault="00B41709" w:rsidP="00C139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Každá elektronická cigareta obsahuje před</w:t>
      </w:r>
      <w:r w:rsidR="00EC2FCF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nabitou baterii</w:t>
      </w:r>
      <w:r w:rsidR="0028032F">
        <w:rPr>
          <w:rFonts w:ascii="Arial" w:hAnsi="Arial" w:cs="Arial"/>
        </w:rPr>
        <w:t>.</w:t>
      </w:r>
      <w:r w:rsidR="00137A6A">
        <w:rPr>
          <w:rFonts w:ascii="Arial" w:hAnsi="Arial" w:cs="Arial"/>
        </w:rPr>
        <w:t xml:space="preserve"> </w:t>
      </w:r>
      <w:r w:rsidR="00137A6A">
        <w:rPr>
          <w:rFonts w:ascii="Arial" w:hAnsi="Arial" w:cs="Arial"/>
          <w:i/>
          <w:iCs/>
        </w:rPr>
        <w:t>„</w:t>
      </w:r>
      <w:r w:rsidR="00EC2FCF">
        <w:rPr>
          <w:rFonts w:ascii="Arial" w:hAnsi="Arial" w:cs="Arial"/>
          <w:i/>
          <w:iCs/>
        </w:rPr>
        <w:t xml:space="preserve">Ve společnosti </w:t>
      </w:r>
      <w:r w:rsidR="006C242B">
        <w:rPr>
          <w:rFonts w:ascii="Arial" w:hAnsi="Arial" w:cs="Arial"/>
          <w:i/>
          <w:iCs/>
        </w:rPr>
        <w:t>panují mýty, že by</w:t>
      </w:r>
      <w:r w:rsidR="005A350A">
        <w:rPr>
          <w:rFonts w:ascii="Arial" w:hAnsi="Arial" w:cs="Arial"/>
          <w:i/>
          <w:iCs/>
        </w:rPr>
        <w:t xml:space="preserve"> uživatelé měli e-cigarety před vyhozením rozebrat. Odpověď je</w:t>
      </w:r>
      <w:r w:rsidR="00E71C94">
        <w:rPr>
          <w:rFonts w:ascii="Arial" w:hAnsi="Arial" w:cs="Arial"/>
          <w:i/>
          <w:iCs/>
        </w:rPr>
        <w:t xml:space="preserve"> ne</w:t>
      </w:r>
      <w:r w:rsidR="005A350A">
        <w:rPr>
          <w:rFonts w:ascii="Arial" w:hAnsi="Arial" w:cs="Arial"/>
          <w:i/>
          <w:iCs/>
        </w:rPr>
        <w:t xml:space="preserve">. Nejjednodušší a </w:t>
      </w:r>
      <w:r w:rsidR="005A350A">
        <w:rPr>
          <w:rFonts w:ascii="Arial" w:hAnsi="Arial" w:cs="Arial"/>
          <w:i/>
          <w:iCs/>
        </w:rPr>
        <w:lastRenderedPageBreak/>
        <w:t xml:space="preserve">správnou cestou k ekologické likvidaci je vybitý přístroj </w:t>
      </w:r>
      <w:r w:rsidR="00081D64">
        <w:rPr>
          <w:rFonts w:ascii="Arial" w:hAnsi="Arial" w:cs="Arial"/>
          <w:i/>
          <w:iCs/>
        </w:rPr>
        <w:t>odevzdat v prodejně, kde si ho koupil</w:t>
      </w:r>
      <w:r w:rsidR="00830CDD">
        <w:rPr>
          <w:rFonts w:ascii="Arial" w:hAnsi="Arial" w:cs="Arial"/>
          <w:i/>
          <w:iCs/>
        </w:rPr>
        <w:t>i</w:t>
      </w:r>
      <w:r w:rsidR="001F6C13">
        <w:rPr>
          <w:rFonts w:ascii="Arial" w:hAnsi="Arial" w:cs="Arial"/>
          <w:i/>
          <w:iCs/>
        </w:rPr>
        <w:t>.</w:t>
      </w:r>
      <w:r w:rsidR="00EC0B6C">
        <w:rPr>
          <w:rFonts w:ascii="Arial" w:hAnsi="Arial" w:cs="Arial"/>
          <w:i/>
          <w:iCs/>
        </w:rPr>
        <w:t xml:space="preserve">“ </w:t>
      </w:r>
      <w:r w:rsidR="00EC0B6C">
        <w:rPr>
          <w:rFonts w:ascii="Arial" w:hAnsi="Arial" w:cs="Arial"/>
        </w:rPr>
        <w:t xml:space="preserve">uzavírá Vránková. </w:t>
      </w:r>
    </w:p>
    <w:p w14:paraId="691CFED0" w14:textId="77777777" w:rsidR="006C242B" w:rsidRDefault="006C242B" w:rsidP="00C1399D">
      <w:pPr>
        <w:jc w:val="both"/>
        <w:rPr>
          <w:rFonts w:ascii="Arial" w:hAnsi="Arial" w:cs="Arial"/>
        </w:rPr>
      </w:pPr>
    </w:p>
    <w:p w14:paraId="00084885" w14:textId="399C7086" w:rsidR="00560D65" w:rsidRPr="002B672B" w:rsidRDefault="00531CF6" w:rsidP="00C1399D">
      <w:pPr>
        <w:jc w:val="both"/>
        <w:rPr>
          <w:rFonts w:ascii="Arial" w:hAnsi="Arial" w:cs="Arial"/>
          <w:sz w:val="18"/>
          <w:szCs w:val="18"/>
        </w:rPr>
      </w:pPr>
      <w:r w:rsidRPr="002B672B">
        <w:rPr>
          <w:rFonts w:ascii="Arial" w:hAnsi="Arial" w:cs="Arial"/>
          <w:b/>
          <w:bCs/>
          <w:sz w:val="18"/>
          <w:szCs w:val="18"/>
        </w:rPr>
        <w:t xml:space="preserve">* </w:t>
      </w:r>
      <w:r w:rsidR="00560D65" w:rsidRPr="002B672B">
        <w:rPr>
          <w:rFonts w:ascii="Arial" w:hAnsi="Arial" w:cs="Arial"/>
          <w:sz w:val="18"/>
          <w:szCs w:val="18"/>
        </w:rPr>
        <w:t xml:space="preserve">Průzkum </w:t>
      </w:r>
      <w:r w:rsidRPr="002B672B">
        <w:rPr>
          <w:rFonts w:ascii="Arial" w:hAnsi="Arial" w:cs="Arial"/>
          <w:sz w:val="18"/>
          <w:szCs w:val="18"/>
        </w:rPr>
        <w:t xml:space="preserve">byl </w:t>
      </w:r>
      <w:r w:rsidR="00560D65" w:rsidRPr="002B672B">
        <w:rPr>
          <w:rFonts w:ascii="Arial" w:hAnsi="Arial" w:cs="Arial"/>
          <w:sz w:val="18"/>
          <w:szCs w:val="18"/>
        </w:rPr>
        <w:t xml:space="preserve">realizovaný přes </w:t>
      </w:r>
      <w:r w:rsidRPr="002B672B">
        <w:rPr>
          <w:rFonts w:ascii="Arial" w:hAnsi="Arial" w:cs="Arial"/>
          <w:sz w:val="18"/>
          <w:szCs w:val="18"/>
        </w:rPr>
        <w:t xml:space="preserve">platformu </w:t>
      </w:r>
      <w:r w:rsidR="002B672B" w:rsidRPr="002B672B">
        <w:rPr>
          <w:rFonts w:ascii="Arial" w:hAnsi="Arial" w:cs="Arial"/>
          <w:sz w:val="18"/>
          <w:szCs w:val="18"/>
        </w:rPr>
        <w:t xml:space="preserve">Instant </w:t>
      </w:r>
      <w:proofErr w:type="spellStart"/>
      <w:r w:rsidR="002B672B" w:rsidRPr="002B672B">
        <w:rPr>
          <w:rFonts w:ascii="Arial" w:hAnsi="Arial" w:cs="Arial"/>
          <w:sz w:val="18"/>
          <w:szCs w:val="18"/>
        </w:rPr>
        <w:t>Research</w:t>
      </w:r>
      <w:proofErr w:type="spellEnd"/>
      <w:r w:rsidR="002B672B" w:rsidRPr="002B672B">
        <w:rPr>
          <w:rFonts w:ascii="Arial" w:hAnsi="Arial" w:cs="Arial"/>
          <w:sz w:val="18"/>
          <w:szCs w:val="18"/>
        </w:rPr>
        <w:t xml:space="preserve"> v červenci 2023 na vzorku 525 respondentů. </w:t>
      </w:r>
      <w:r w:rsidR="00560D65" w:rsidRPr="002B672B">
        <w:rPr>
          <w:rFonts w:ascii="Arial" w:hAnsi="Arial" w:cs="Arial"/>
          <w:sz w:val="18"/>
          <w:szCs w:val="18"/>
        </w:rPr>
        <w:t xml:space="preserve"> </w:t>
      </w:r>
    </w:p>
    <w:p w14:paraId="253682BD" w14:textId="7AC5C5E4" w:rsidR="00B41CC1" w:rsidRDefault="002B672B" w:rsidP="00C139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----</w:t>
      </w:r>
    </w:p>
    <w:p w14:paraId="3E358AE3" w14:textId="405C26A2" w:rsidR="00B41CC1" w:rsidRPr="00C86612" w:rsidRDefault="00B41CC1" w:rsidP="00B41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C8661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ECOBAT je česká neziskově hospodařící společnost, která již 20 let zajišťuje komplexní služby spojené se zpětným odběrem baterií. V roce 2022 se stal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a</w:t>
      </w:r>
      <w:r w:rsidRPr="00C8661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první společností v České republice, která získala nové oprávnění od Ministerstva životního prostředí k provozování kolektivního systému pro zpětný odběr odpadních baterií v České republice. </w:t>
      </w:r>
    </w:p>
    <w:p w14:paraId="271DFA76" w14:textId="77777777" w:rsidR="00B41CC1" w:rsidRPr="00C86612" w:rsidRDefault="00B41CC1" w:rsidP="00B41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14:paraId="441E4C18" w14:textId="77777777" w:rsidR="00B41CC1" w:rsidRPr="00C86612" w:rsidRDefault="00B41CC1" w:rsidP="00B41C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C8661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ECOBAT organizuje sběr všech odpadních baterií – od monočlánků přes baterie z elektrokol, AKU nářadí nebo fotovoltaických systémů až po autobaterie a baterie z elektromobilů. Zajišťuje také proces jejich třídění a následné recyklace. Odpadní baterie lze odevzdat na více než </w:t>
      </w:r>
      <w:r w:rsidRPr="0020003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28 000</w:t>
      </w:r>
      <w:r w:rsidRPr="00C8661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sběrných místech po celé České republice. ECOBAT je mimo jiné také zapojen do aktivit </w:t>
      </w:r>
      <w:proofErr w:type="spellStart"/>
      <w:r w:rsidRPr="00C8661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ČAObH</w:t>
      </w:r>
      <w:proofErr w:type="spellEnd"/>
      <w:r w:rsidRPr="00C8661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, je členem evropské asociace EUCOBAT sdružující národní systémy zajišťující sběr baterií a partnerem evropského sdružení RENEOS, které pro výrobce baterií zajišťuje sběr, opakované použití, přepravu a recyklaci lithiových baterií.</w:t>
      </w:r>
    </w:p>
    <w:p w14:paraId="0868F96D" w14:textId="77777777" w:rsidR="00B41CC1" w:rsidRPr="00EF4804" w:rsidRDefault="00B41CC1" w:rsidP="00C1399D">
      <w:pPr>
        <w:jc w:val="both"/>
        <w:rPr>
          <w:rFonts w:ascii="Arial" w:hAnsi="Arial" w:cs="Arial"/>
        </w:rPr>
      </w:pPr>
    </w:p>
    <w:p w14:paraId="3A7B89B9" w14:textId="77777777" w:rsidR="00BF5DF8" w:rsidRDefault="00BF5DF8" w:rsidP="00C1399D">
      <w:pPr>
        <w:jc w:val="both"/>
        <w:rPr>
          <w:rFonts w:ascii="Arial" w:hAnsi="Arial" w:cs="Arial"/>
          <w:b/>
          <w:bCs/>
        </w:rPr>
      </w:pPr>
    </w:p>
    <w:p w14:paraId="0D0AA675" w14:textId="77777777" w:rsidR="00BF5DF8" w:rsidRDefault="00BF5DF8" w:rsidP="00C1399D">
      <w:pPr>
        <w:jc w:val="both"/>
        <w:rPr>
          <w:rFonts w:ascii="Arial" w:hAnsi="Arial" w:cs="Arial"/>
          <w:b/>
          <w:bCs/>
        </w:rPr>
      </w:pPr>
    </w:p>
    <w:p w14:paraId="51C98458" w14:textId="77777777" w:rsidR="00AB6723" w:rsidRDefault="00AB6723" w:rsidP="00C1399D">
      <w:pPr>
        <w:jc w:val="both"/>
        <w:rPr>
          <w:rFonts w:ascii="Arial" w:hAnsi="Arial" w:cs="Arial"/>
          <w:b/>
          <w:bCs/>
        </w:rPr>
      </w:pPr>
    </w:p>
    <w:p w14:paraId="4A676296" w14:textId="77777777" w:rsidR="00AB6723" w:rsidRPr="00C1399D" w:rsidRDefault="00AB6723" w:rsidP="00C1399D">
      <w:pPr>
        <w:jc w:val="both"/>
        <w:rPr>
          <w:rFonts w:ascii="Arial" w:hAnsi="Arial" w:cs="Arial"/>
          <w:b/>
          <w:bCs/>
        </w:rPr>
      </w:pPr>
    </w:p>
    <w:sectPr w:rsidR="00AB6723" w:rsidRPr="00C1399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AE04" w14:textId="77777777" w:rsidR="00CF3CB8" w:rsidRDefault="00CF3CB8" w:rsidP="00CF3CB8">
      <w:pPr>
        <w:spacing w:after="0" w:line="240" w:lineRule="auto"/>
      </w:pPr>
      <w:r>
        <w:separator/>
      </w:r>
    </w:p>
  </w:endnote>
  <w:endnote w:type="continuationSeparator" w:id="0">
    <w:p w14:paraId="46FD9B8A" w14:textId="77777777" w:rsidR="00CF3CB8" w:rsidRDefault="00CF3CB8" w:rsidP="00CF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245F" w14:textId="77777777" w:rsidR="00CF3CB8" w:rsidRDefault="00CF3CB8" w:rsidP="00CF3CB8">
      <w:pPr>
        <w:spacing w:after="0" w:line="240" w:lineRule="auto"/>
      </w:pPr>
      <w:r>
        <w:separator/>
      </w:r>
    </w:p>
  </w:footnote>
  <w:footnote w:type="continuationSeparator" w:id="0">
    <w:p w14:paraId="59345736" w14:textId="77777777" w:rsidR="00CF3CB8" w:rsidRDefault="00CF3CB8" w:rsidP="00CF3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F6DB" w14:textId="439EA50C" w:rsidR="00412B37" w:rsidRDefault="00412B37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2E9C85" wp14:editId="09C6D05C">
          <wp:simplePos x="0" y="0"/>
          <wp:positionH relativeFrom="column">
            <wp:posOffset>4998085</wp:posOffset>
          </wp:positionH>
          <wp:positionV relativeFrom="paragraph">
            <wp:posOffset>-297180</wp:posOffset>
          </wp:positionV>
          <wp:extent cx="1219200" cy="961759"/>
          <wp:effectExtent l="0" t="0" r="0" b="0"/>
          <wp:wrapTight wrapText="bothSides">
            <wp:wrapPolygon edited="0">
              <wp:start x="0" y="0"/>
              <wp:lineTo x="0" y="20972"/>
              <wp:lineTo x="21263" y="20972"/>
              <wp:lineTo x="21263" y="0"/>
              <wp:lineTo x="0" y="0"/>
            </wp:wrapPolygon>
          </wp:wrapTight>
          <wp:docPr id="1435985268" name="Obrázek 1" descr="Obsah obrázku text, logo, Písmo, kruh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985268" name="Obrázek 1" descr="Obsah obrázku text, logo, Písmo, kruh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961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36"/>
    <w:rsid w:val="00001837"/>
    <w:rsid w:val="00002B19"/>
    <w:rsid w:val="00020F03"/>
    <w:rsid w:val="00044AAC"/>
    <w:rsid w:val="00081D64"/>
    <w:rsid w:val="00090244"/>
    <w:rsid w:val="000A6489"/>
    <w:rsid w:val="000B4E68"/>
    <w:rsid w:val="000C3F95"/>
    <w:rsid w:val="000F3210"/>
    <w:rsid w:val="0011702D"/>
    <w:rsid w:val="00130502"/>
    <w:rsid w:val="00137A6A"/>
    <w:rsid w:val="00196017"/>
    <w:rsid w:val="001F6C13"/>
    <w:rsid w:val="00230C15"/>
    <w:rsid w:val="00236F09"/>
    <w:rsid w:val="00257929"/>
    <w:rsid w:val="0028032F"/>
    <w:rsid w:val="0029017A"/>
    <w:rsid w:val="00296ACC"/>
    <w:rsid w:val="002B1940"/>
    <w:rsid w:val="002B672B"/>
    <w:rsid w:val="002E278C"/>
    <w:rsid w:val="002F4001"/>
    <w:rsid w:val="003308D2"/>
    <w:rsid w:val="00350779"/>
    <w:rsid w:val="003979AA"/>
    <w:rsid w:val="003E77BB"/>
    <w:rsid w:val="003F5BA9"/>
    <w:rsid w:val="00412B37"/>
    <w:rsid w:val="00440173"/>
    <w:rsid w:val="00470440"/>
    <w:rsid w:val="0047740B"/>
    <w:rsid w:val="00481861"/>
    <w:rsid w:val="00497D5E"/>
    <w:rsid w:val="004A2068"/>
    <w:rsid w:val="004F7E7E"/>
    <w:rsid w:val="00531CF6"/>
    <w:rsid w:val="00560D65"/>
    <w:rsid w:val="00564D11"/>
    <w:rsid w:val="00567E28"/>
    <w:rsid w:val="0057197C"/>
    <w:rsid w:val="00575F77"/>
    <w:rsid w:val="005A350A"/>
    <w:rsid w:val="005B05B5"/>
    <w:rsid w:val="005C2676"/>
    <w:rsid w:val="00600685"/>
    <w:rsid w:val="006232A3"/>
    <w:rsid w:val="00653B27"/>
    <w:rsid w:val="00683BD2"/>
    <w:rsid w:val="00695DAD"/>
    <w:rsid w:val="006C242B"/>
    <w:rsid w:val="006D44A8"/>
    <w:rsid w:val="007202A1"/>
    <w:rsid w:val="00723CF4"/>
    <w:rsid w:val="007814A2"/>
    <w:rsid w:val="00830CDD"/>
    <w:rsid w:val="00885C0D"/>
    <w:rsid w:val="00887E46"/>
    <w:rsid w:val="00891BD7"/>
    <w:rsid w:val="00892FD0"/>
    <w:rsid w:val="00894239"/>
    <w:rsid w:val="008D71B5"/>
    <w:rsid w:val="009642FC"/>
    <w:rsid w:val="00966512"/>
    <w:rsid w:val="00985A30"/>
    <w:rsid w:val="00995B36"/>
    <w:rsid w:val="00997C9E"/>
    <w:rsid w:val="009A0938"/>
    <w:rsid w:val="009B05AF"/>
    <w:rsid w:val="00A22E02"/>
    <w:rsid w:val="00A234EF"/>
    <w:rsid w:val="00A577C0"/>
    <w:rsid w:val="00A634A1"/>
    <w:rsid w:val="00A87ED1"/>
    <w:rsid w:val="00AB666D"/>
    <w:rsid w:val="00AB6723"/>
    <w:rsid w:val="00AE6902"/>
    <w:rsid w:val="00AF4325"/>
    <w:rsid w:val="00B06E26"/>
    <w:rsid w:val="00B1545B"/>
    <w:rsid w:val="00B31BDC"/>
    <w:rsid w:val="00B41709"/>
    <w:rsid w:val="00B41CC1"/>
    <w:rsid w:val="00B43EFC"/>
    <w:rsid w:val="00B667D0"/>
    <w:rsid w:val="00B910E8"/>
    <w:rsid w:val="00BA36E7"/>
    <w:rsid w:val="00BB1248"/>
    <w:rsid w:val="00BF5DF8"/>
    <w:rsid w:val="00C1399D"/>
    <w:rsid w:val="00C1653D"/>
    <w:rsid w:val="00C35915"/>
    <w:rsid w:val="00C41D07"/>
    <w:rsid w:val="00C771E4"/>
    <w:rsid w:val="00C80F71"/>
    <w:rsid w:val="00C924E8"/>
    <w:rsid w:val="00C97194"/>
    <w:rsid w:val="00CA4829"/>
    <w:rsid w:val="00CB5999"/>
    <w:rsid w:val="00CB6502"/>
    <w:rsid w:val="00CD7698"/>
    <w:rsid w:val="00CF3CB8"/>
    <w:rsid w:val="00D01AD3"/>
    <w:rsid w:val="00D0777A"/>
    <w:rsid w:val="00D111C4"/>
    <w:rsid w:val="00D569C6"/>
    <w:rsid w:val="00D637BD"/>
    <w:rsid w:val="00DA68D3"/>
    <w:rsid w:val="00E27E20"/>
    <w:rsid w:val="00E42317"/>
    <w:rsid w:val="00E43973"/>
    <w:rsid w:val="00E63B99"/>
    <w:rsid w:val="00E64DF2"/>
    <w:rsid w:val="00E712AC"/>
    <w:rsid w:val="00E71C94"/>
    <w:rsid w:val="00E83FFF"/>
    <w:rsid w:val="00EB79BF"/>
    <w:rsid w:val="00EC0B6C"/>
    <w:rsid w:val="00EC2FCF"/>
    <w:rsid w:val="00ED797E"/>
    <w:rsid w:val="00EE195B"/>
    <w:rsid w:val="00EF4804"/>
    <w:rsid w:val="00EF6ADB"/>
    <w:rsid w:val="00F03E78"/>
    <w:rsid w:val="00F1035F"/>
    <w:rsid w:val="00F140CF"/>
    <w:rsid w:val="00F466F1"/>
    <w:rsid w:val="00F610A4"/>
    <w:rsid w:val="00F93CCC"/>
    <w:rsid w:val="00F9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94FB6A"/>
  <w15:chartTrackingRefBased/>
  <w15:docId w15:val="{1A8B0935-60B7-41A0-84C7-8853A1D9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53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A09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09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09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09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0938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D5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53B27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531CF6"/>
    <w:pPr>
      <w:ind w:left="720"/>
      <w:contextualSpacing/>
    </w:pPr>
  </w:style>
  <w:style w:type="paragraph" w:styleId="Revize">
    <w:name w:val="Revision"/>
    <w:hidden/>
    <w:uiPriority w:val="99"/>
    <w:semiHidden/>
    <w:rsid w:val="00081D6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F3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3CB8"/>
  </w:style>
  <w:style w:type="paragraph" w:styleId="Zpat">
    <w:name w:val="footer"/>
    <w:basedOn w:val="Normln"/>
    <w:link w:val="ZpatChar"/>
    <w:uiPriority w:val="99"/>
    <w:unhideWhenUsed/>
    <w:rsid w:val="00CF3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A58B6EB134AB4CB6C963BC80D716F1" ma:contentTypeVersion="17" ma:contentTypeDescription="Vytvoří nový dokument" ma:contentTypeScope="" ma:versionID="77af20b04ba2113b1f0a73febf127a9f">
  <xsd:schema xmlns:xsd="http://www.w3.org/2001/XMLSchema" xmlns:xs="http://www.w3.org/2001/XMLSchema" xmlns:p="http://schemas.microsoft.com/office/2006/metadata/properties" xmlns:ns2="d0755a44-1846-4948-8de8-9fd5cd1f1a59" xmlns:ns3="557c1ab4-d713-4847-9f1a-08ab82bf830b" targetNamespace="http://schemas.microsoft.com/office/2006/metadata/properties" ma:root="true" ma:fieldsID="216edc339287fa829c38cb1c88416943" ns2:_="" ns3:_="">
    <xsd:import namespace="d0755a44-1846-4948-8de8-9fd5cd1f1a59"/>
    <xsd:import namespace="557c1ab4-d713-4847-9f1a-08ab82bf8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5a44-1846-4948-8de8-9fd5cd1f1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c82ee58-b1a2-44b1-8061-d1abd16b2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c1ab4-d713-4847-9f1a-08ab82bf8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52d30d-e27a-4638-a1e6-5d1e29a23c6f}" ma:internalName="TaxCatchAll" ma:showField="CatchAllData" ma:web="557c1ab4-d713-4847-9f1a-08ab82bf8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7DD8C-135B-4990-B77F-DA93E921D8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3A15B9-FD3D-4E04-88C9-F1ACA9AF8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B4B1D-3172-4285-9C80-35F2456F2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5a44-1846-4948-8de8-9fd5cd1f1a59"/>
    <ds:schemaRef ds:uri="557c1ab4-d713-4847-9f1a-08ab82bf8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Vokrouhlíková</dc:creator>
  <cp:keywords/>
  <dc:description/>
  <cp:lastModifiedBy>Kateřina Vránková</cp:lastModifiedBy>
  <cp:revision>3</cp:revision>
  <dcterms:created xsi:type="dcterms:W3CDTF">2023-08-21T14:12:00Z</dcterms:created>
  <dcterms:modified xsi:type="dcterms:W3CDTF">2023-08-21T14:13:00Z</dcterms:modified>
</cp:coreProperties>
</file>